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left="5103" w:firstLine="0"/>
        <w:rPr>
          <w:rFonts w:ascii="Times New Roman" w:cs="Times New Roman" w:eastAsia="Times New Roman" w:hAnsi="Times New Roman"/>
          <w:color w:val="0b1f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1f33"/>
          <w:sz w:val="24"/>
          <w:szCs w:val="24"/>
          <w:highlight w:val="white"/>
          <w:rtl w:val="0"/>
        </w:rPr>
        <w:t xml:space="preserve">(ФИО пристава-исполнителя) </w:t>
      </w:r>
      <w:r w:rsidDel="00000000" w:rsidR="00000000" w:rsidRPr="00000000">
        <w:rPr>
          <w:rFonts w:ascii="Times New Roman" w:cs="Times New Roman" w:eastAsia="Times New Roman" w:hAnsi="Times New Roman"/>
          <w:color w:val="0b1f33"/>
          <w:sz w:val="24"/>
          <w:szCs w:val="24"/>
          <w:highlight w:val="white"/>
          <w:rtl w:val="0"/>
        </w:rPr>
        <w:t xml:space="preserve">, тел: +7(863)210-43-15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left="5103" w:firstLine="0"/>
        <w:rPr>
          <w:rFonts w:ascii="Times New Roman" w:cs="Times New Roman" w:eastAsia="Times New Roman" w:hAnsi="Times New Roman"/>
          <w:color w:val="0b1f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b1f33"/>
          <w:sz w:val="24"/>
          <w:szCs w:val="24"/>
          <w:highlight w:val="white"/>
          <w:rtl w:val="0"/>
        </w:rPr>
        <w:t xml:space="preserve">Кировское РОСП г. Ростова-на-Дону ГУФССП России по Ростовской области (код отдела: 61027).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5103" w:firstLine="0"/>
        <w:rPr>
          <w:rFonts w:ascii="Times New Roman" w:cs="Times New Roman" w:eastAsia="Times New Roman" w:hAnsi="Times New Roman"/>
          <w:color w:val="0b1f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  <w:rtl w:val="0"/>
        </w:rPr>
        <w:t xml:space="preserve">344010, Ростовская область, г. Ростов-на-Дону, пр. Кировский, 42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510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510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510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Заявитель: (ФИО ДОЛЖНИКА) 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510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(АДРЕС РЕГИСТРАЦИИ, КАК В ПАСПОРТЕ)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Требование о прекращении взыскании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исполнительского сбора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отношении должника Арбитражным судом Ростовской области вынесено определение от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02.02.2024 г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по делу №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НОМЕР ВАШЕГО ДЕЛА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ФИО ДОЛЖНИКА (ЗАЯВИТЕЛЯ)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о завершении реализации имущества гражданина. 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соответствии с п.17 Постановления Пленума Высшего Арбитражного Суда РФ от 23 июля 2009 г. № 59 "О некоторых вопросах практики применения Федерального закона "Об исполнительном производстве" в случае возбуждения дела о банкротстве" исходя из определения понятия обязательного платежа, содержащегося в статье 2 Закона о банкротстве,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исполнительский сбор относится к обязательным платежам.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Требования по уплате оставшейся не удержанной из выручки от продажи имущества должника суммы исполнительского сбора представляет в деле о банкротстве уполномоченный орган, которым является Федеральная налоговая служба. В силу того, что исполнительский сбор по своей природе носит характер штрафной санкции, такие требования удовлетворяются в порядке, предусмотренном пунктом 3 статьи 137 Закона о банкротстве.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Требование об уплате исполнительского сбора (ч. 1 ст. 112 Федерального закона от 02.10.2007 № 229-ФЗ «Об исполнительном производстве») следует судьбе основного обязательства, в процессе исполнительного производства, в отношении которого было совершено правонарушение, послужившее основанием для взыскания названного исполнительского сбора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Таким образом,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исполнитель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ский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сбор по исполнительному производству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1f33"/>
          <w:sz w:val="24"/>
          <w:szCs w:val="24"/>
          <w:rtl w:val="0"/>
        </w:rPr>
        <w:t xml:space="preserve">(номер  исполнительного производства указан у вас в гос услугах)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мог быть заявлен в деле о банкротстве уполномоченным органом.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Определением арбитражного суда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г.  по делу 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 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авершена процедура реализации имущества должника,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ФИО ДОЛЖНИКА (заявителя)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освобожден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(а)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от дальнейшего исполнения требований кредиторов, в том числе требований кредиторов, не заявленных при введении процедуры реализации имущества гражданина.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основании вышеизложенного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прошу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окончить исполнительное производство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1f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b1f33"/>
          <w:sz w:val="24"/>
          <w:szCs w:val="24"/>
          <w:rtl w:val="0"/>
        </w:rPr>
        <w:t xml:space="preserve">________________________ (можно перечислить все номера через запятую)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взысканию исполнительного сбора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 же суммы основного долга. 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Приложение: 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- Копия паспорта; 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Определение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Арбитражного суда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от _______ по делу №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«____»_________________20____г.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ФИО и подпись должника (заявителя)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8Q1c8LCjcWCXFNsypvYMo+152A==">CgMxLjA4AHIhMWh4SFM4Z0ozRTJKSkpJSmtqV1FkME52QlRUUzB2bFM5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2024-10-14T13:46:00Z</dcterms:created>
  <dc:creator>Марина</dc:creator>
</cp:coreProperties>
</file>